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b/>
          <w:bCs/>
          <w:color w:val="111111"/>
          <w:sz w:val="34"/>
          <w:szCs w:val="34"/>
          <w:lang w:eastAsia="ru-RU"/>
        </w:rPr>
        <w:t>Сексуальное насилие над детьми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Сексуальное насилие над детьми – это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стимуляции: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ласка, </w:t>
      </w:r>
      <w:proofErr w:type="spell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эротизированная</w:t>
      </w:r>
      <w:proofErr w:type="spell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забота;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демонстрация половых органов, использование ребенка для сексуальной стимуляции взрослого;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изнасилование или растление, орально-</w:t>
      </w:r>
      <w:proofErr w:type="spell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гинетальный</w:t>
      </w:r>
      <w:proofErr w:type="spell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контакт; сексуальная эксплуатация (порнографические материалы с детьми); проституция.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ШАГ ПЕРВЫЙ: Фиксируем признаки</w:t>
      </w:r>
    </w:p>
    <w:p w:rsidR="003A5284" w:rsidRPr="003A5284" w:rsidRDefault="003A5284" w:rsidP="003A52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становится замкнутым.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насторожиться, если ваш обыкновенно отзывчивый и энергичный ребенок резко оборачивается застенчивым и скрытным, трудно идущим на контакт. Зачастую мальчик или девочка, переживший (-</w:t>
      </w:r>
      <w:proofErr w:type="spell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ая</w:t>
      </w:r>
      <w:proofErr w:type="spell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 сексуальное насилие, чувствует стыд, смущение и замешательство относительно произошедшего, и поскольку в силу своего возраста дети еще не наловчились четко и 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ясно осознавать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выражать свои чувства, то хранят и блокируют их в себе. Ребенок длительное время ведет себя тише обычного – тревожный сигнал, который не терпит игнорирования.</w:t>
      </w:r>
    </w:p>
    <w:p w:rsidR="003A5284" w:rsidRPr="003A5284" w:rsidRDefault="003A5284" w:rsidP="003A52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Поведение ребенка не соответствует его возрасту – происходит откат на несколько лет назад. Специфический симптом того, что ребенок пережил сексуальное насилие.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Приведем примеры такого поведения: ребенок снова начинает писаться по ночам;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впадает в истерику или проявляет агрессию без видимых на то причин.</w:t>
      </w:r>
    </w:p>
    <w:p w:rsidR="003A5284" w:rsidRPr="003A5284" w:rsidRDefault="003A5284" w:rsidP="003A528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Кошмары и иные расстройства сна.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Деткам часто снятся кошмары, да и бессонницы периодически их преследуют, и не стоит паниковать из-за пары-тройки таких ночей. Тем не менее, если ваш ребенок уже неделю (и есть 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подозрение,   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одной такой неделей дело не ограничится) как видит во сне кошмары, плачет, когда перед сном вы покидаете его комнату, и не может заснуть в своей постели один, вам необходимо предпринять шаги по установлению причин таких нарушений.</w:t>
      </w:r>
    </w:p>
    <w:p w:rsidR="003A5284" w:rsidRPr="003A5284" w:rsidRDefault="003A5284" w:rsidP="003A528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«Подозрительные» игры.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Иногда дети, подвергшиеся сексуальному   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насилию,   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неосознанно воссоздают случившееся во время игры с другими детьми или с помощью игрушек. В таких случаях игры ребенка приобретают явный сексуальный оттенок, притом что девочка или мальчик не смогут   вам   объяснить, почему игра 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имеет  такую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не иную форму.</w:t>
      </w:r>
    </w:p>
    <w:p w:rsidR="003A5284" w:rsidRPr="003A5284" w:rsidRDefault="003A5284" w:rsidP="003A528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Резкая перемена характера.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Искренний, общительный и веселый ребенок превращается в болезненно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угрюмого недотрогу, в момент изменившего свой привычный уклад детской жизни: другие игры, новые друзья. И наоборот. Скромный, тихий и стеснительный малыш превращается в невротичного, требующего постоянного внимания, буйного ребенка. Частые, без видимых на то причин перепады настроения.</w:t>
      </w:r>
    </w:p>
    <w:p w:rsidR="003A5284" w:rsidRPr="003A5284" w:rsidRDefault="003A5284" w:rsidP="003A52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Нездоровая реакция на определенные места и конкретных людей.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начинает настойчиво проявлять нежелание находиться в привычном для него месте (двор, кружок, школа, школа, квартира) или рядом с конкретным человеком, который к тому же вызывает у него реакции побега, попытки спрятаться, оцепенения, плача, крика.</w:t>
      </w:r>
    </w:p>
    <w:p w:rsidR="003A5284" w:rsidRPr="003A5284" w:rsidRDefault="003A5284" w:rsidP="003A528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Телесные повреждения.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Насильник редко оставляет следы на теле ребенка, но все же: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боль, кровотечение или выделения, изменение цвета (все в области рта, влагалища и ануса);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 при мочеиспускании и испражнении; синяки вокруг гениталий;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синяки (следы прикуса) на шее и других местах с тонкой кожей.</w:t>
      </w:r>
    </w:p>
    <w:p w:rsidR="003A5284" w:rsidRPr="003A5284" w:rsidRDefault="003A5284" w:rsidP="003A528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Нормы сексуального поведения для ребенка.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Следует различать адекватное и неадекватное возрасту сексуальное поведение малыша. Так, к нормам сексуального поведения ребенка (0-5 лет) 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относим:   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использование        ребенком  исключительно  простого,  образного  детского языка при описании интимных частей человеческого тела или аналогичных мест на поверхности куклы или игрушки;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касание и исследование своих интимных мест, проявление интереса к устройству своего тела.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ШАГ ВТОРОЙ: Ваш самый первый разговор с ребенком о том, что случилось</w:t>
      </w:r>
    </w:p>
    <w:p w:rsidR="003A5284" w:rsidRPr="003A5284" w:rsidRDefault="003A5284" w:rsidP="003A528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Безопасность.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должен чувствовать себя в безопасности во время беседы. Сексуальное насилие – сложнейший предмет обсуждения как для родителей, так и для ребенка, поэтому критично, чтобы разговор состоялся в максимально комфортной среде. Подгадайте свободный момент, когда ни сыну/дочери, ни вам не надо никуда торопиться. Предложите ребенку поговорить, заранее предупредив о том, что намерены задать некоторые вопросы, честные ответы на которые не повлекут за собой никаких негативных последствий для ребенка.</w:t>
      </w:r>
    </w:p>
    <w:p w:rsidR="003A5284" w:rsidRPr="003A5284" w:rsidRDefault="003A5284" w:rsidP="003A528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Задаем ребенку вопрос о том, была ли нарушена его/ее сексуальная неприкосновенность. Как только вы убедились в том, что ребенку с вами сейчас комфортно, аккуратно начните предметный разговор. Главный вопрос можно сформулировать следующим образом: «Прикасался </w:t>
      </w: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(просил, собирался) или производил ли иные манипуляции кто-то когда-либо к твоим интимным местам (с твоими интимными местами)?». При описании частей тела, к которым не должны прикасаться или проявлять интерес другие люди, используйте простые слова и выражения, знакомые вашему ребенку.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3A5284" w:rsidRPr="003A5284" w:rsidRDefault="003A5284" w:rsidP="003A528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Если ребенок 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говорит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«Нет» или отмалчивается, задаем малышу/ малышке вопрос о причинах изменения в его/ее поведении, которые и стали причиной происходящего разговора. К примеру, вы можете сказать, что заметили его/ее страх перед походом на тренировку, в детский сад, школу, которого раньше не наблюдали, и хотели бы узнать о его истоках: «Ты стал застенчивым (агрессивным, скрытным и т.д.). Почему? Я беспокоюсь и хотел (- а) бы поговорить об этом». Должен прозвучать конкретный вопрос о том, стало ли определенное событие   или конкретный человек причиной перемен в поведении.</w:t>
      </w:r>
    </w:p>
    <w:p w:rsidR="003A5284" w:rsidRPr="003A5284" w:rsidRDefault="003A5284" w:rsidP="003A528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Секрет.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Часто насильник берет обещание у ребенка хранить то, что происходило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(происходит), в секрете; не исключено и запугивание ребенка преступника с целью сокрытия злодеяния. Если ваш ребенок подтверждает, что обещал (-а) никому не рассказывать, объясните ему/ей, что существуют ситуации, когда раскрыть тайну – это норма, и никто от этого не пострадает, в особенности «ты, малыш».</w:t>
      </w:r>
    </w:p>
    <w:p w:rsidR="003A5284" w:rsidRPr="003A5284" w:rsidRDefault="003A5284" w:rsidP="003A528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Поддержка.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Сначала заверьте вашего ребенка, что у настоящего разговора есть одна лишь цель – вы хотите уберечь его/ее или помочь от (в) опасной ситуации. Продемонстрируйте свою лояльность и поддержку. И в случае, если опасения не подтвердились, уверьте, что если его/ее сексуальная неприкосновенность однажды будет нарушена, то ребенок всегда может и должен рассказать об этом вам, родителям.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ШАГ ТРЕТИЙ: Превенция, реакция и защита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Выявляем, какие ситуации можно 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определить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сексуальное насилие в отношении несовершеннолетнего. Перечислим преступные действия:</w:t>
      </w:r>
    </w:p>
    <w:p w:rsidR="003A5284" w:rsidRPr="003A5284" w:rsidRDefault="003A5284" w:rsidP="003A52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Вступление взрослого или несовершеннолетнего (часто старшего по возрасту) в половой контакт с ребенком вне зависимости от его формы и факта согласия/несогласия ребенка на такой контакт;</w:t>
      </w:r>
    </w:p>
    <w:p w:rsidR="003A5284" w:rsidRPr="003A5284" w:rsidRDefault="003A5284" w:rsidP="003A52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Разнообразные прикосновения к гениталиям вашего ребенка с целью удовлетворения персонального сексуального желания;</w:t>
      </w:r>
    </w:p>
    <w:p w:rsidR="003A5284" w:rsidRPr="003A5284" w:rsidRDefault="003A5284" w:rsidP="003A52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Принуждение ребенка к прикосновениям к чужим (взрослого или другого ребенка) интимным местам;</w:t>
      </w:r>
    </w:p>
    <w:p w:rsidR="003A5284" w:rsidRPr="003A5284" w:rsidRDefault="003A5284" w:rsidP="003A52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Демонстрация взрослым своих гениталий ребенку, а также принуждение ребенка взрослым к наблюдению за различными сексуальными манипуляциями со своими половыми органами, половым актом;</w:t>
      </w:r>
    </w:p>
    <w:p w:rsidR="003A5284" w:rsidRPr="003A5284" w:rsidRDefault="003A5284" w:rsidP="003A52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Демонстрация ребенку порнографических изображений;</w:t>
      </w:r>
    </w:p>
    <w:p w:rsidR="003A5284" w:rsidRPr="003A5284" w:rsidRDefault="003A5284" w:rsidP="003A52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Фото и видеосъемка ребенка в обнаженном виде.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Объясняем ребенку, какие части его тела интимные и неприкосновенные.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 самого раннего возраста ребенок должен знать   о   тех   частях своего тела, к которым не должен проявлять интерес другой человек. Многие родители при объяснении определяют их (части) как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  «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   те части, которые прикрываются нижним бельем, купальником и т.д.».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Обращение в милицию или Следственный Комитет.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Схема действий:</w:t>
      </w:r>
    </w:p>
    <w:p w:rsidR="003A5284" w:rsidRPr="003A5284" w:rsidRDefault="003A5284" w:rsidP="003A528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Наберите 102 и получите полную информацию о том, где располагается ближайший отдел милиции или подразделение Следственного Комитета;</w:t>
      </w:r>
    </w:p>
    <w:p w:rsidR="003A5284" w:rsidRPr="003A5284" w:rsidRDefault="003A5284" w:rsidP="003A528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милиции или районном отделе Следственного Комитета вам предложат написать заявление по факту совершения в отношении вашего ребенка преступления;</w:t>
      </w:r>
    </w:p>
    <w:p w:rsidR="003A5284" w:rsidRPr="003A5284" w:rsidRDefault="003A5284" w:rsidP="003A528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заявлении нужно указать только факты и тем языком, которым изложил ребенок в разговоре с вами. Опирайтесь на схему: «Кто? Что? Когда? Где? Как?».</w:t>
      </w:r>
    </w:p>
    <w:p w:rsidR="003A5284" w:rsidRPr="003A5284" w:rsidRDefault="003A5284" w:rsidP="003A528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Последствия:</w:t>
      </w:r>
    </w:p>
    <w:p w:rsidR="003A5284" w:rsidRPr="003A5284" w:rsidRDefault="003A5284" w:rsidP="003A528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Токсический стресс, влияющий на ряд важных жизненных функций человека. Стресс, который проживает ребенок на протяжении длительного времени после ситуации сексуального насилия, оказывает на его/ее психику токсическое и разрушающее воздействие – он же постоянно возвращается воспоминаниями в ту ситуацию. Отсюда у ребенка, которого насиловали (травмировали любым другим воздействием), мы имеем в два раза увеличивающуюся вероятность инсультов, инфарктов, диабета, в пять раз – риски падения успеваемости, употребления </w:t>
      </w:r>
      <w:proofErr w:type="gramStart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наркотиков,   </w:t>
      </w:r>
      <w:proofErr w:type="gramEnd"/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алкоголя, депрессии. В 1,7 раза увеличивается риск возникновения онкологических заболеваний.</w:t>
      </w:r>
    </w:p>
    <w:p w:rsidR="003A5284" w:rsidRPr="003A5284" w:rsidRDefault="003A5284" w:rsidP="003A528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A52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Проблемы в половой сфере, сфере межличностных отношений, а также высокий риск мультипликации насилия его жертвами, что особенно опасно для мальчиков.</w:t>
      </w:r>
    </w:p>
    <w:p w:rsidR="002B3130" w:rsidRDefault="003A5284" w:rsidP="003A5284">
      <w:pPr>
        <w:spacing w:after="0" w:line="240" w:lineRule="auto"/>
        <w:ind w:firstLine="709"/>
      </w:pPr>
      <w:bookmarkStart w:id="0" w:name="_GoBack"/>
      <w:bookmarkEnd w:id="0"/>
    </w:p>
    <w:sectPr w:rsidR="002B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D5"/>
    <w:multiLevelType w:val="multilevel"/>
    <w:tmpl w:val="34EA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F4C6D"/>
    <w:multiLevelType w:val="multilevel"/>
    <w:tmpl w:val="7D8E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FDD"/>
    <w:multiLevelType w:val="multilevel"/>
    <w:tmpl w:val="169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519C"/>
    <w:multiLevelType w:val="multilevel"/>
    <w:tmpl w:val="4D08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303EB"/>
    <w:multiLevelType w:val="multilevel"/>
    <w:tmpl w:val="1530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9588C"/>
    <w:multiLevelType w:val="multilevel"/>
    <w:tmpl w:val="870E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7D84"/>
    <w:multiLevelType w:val="multilevel"/>
    <w:tmpl w:val="1A7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94BEF"/>
    <w:multiLevelType w:val="multilevel"/>
    <w:tmpl w:val="AF3A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9083B"/>
    <w:multiLevelType w:val="multilevel"/>
    <w:tmpl w:val="D256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F3FBD"/>
    <w:multiLevelType w:val="multilevel"/>
    <w:tmpl w:val="FA08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C1E33"/>
    <w:multiLevelType w:val="multilevel"/>
    <w:tmpl w:val="A670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675DC"/>
    <w:multiLevelType w:val="multilevel"/>
    <w:tmpl w:val="7E4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76E6A"/>
    <w:multiLevelType w:val="multilevel"/>
    <w:tmpl w:val="359A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565A4"/>
    <w:multiLevelType w:val="multilevel"/>
    <w:tmpl w:val="061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1463F"/>
    <w:multiLevelType w:val="multilevel"/>
    <w:tmpl w:val="440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84"/>
    <w:rsid w:val="003A5284"/>
    <w:rsid w:val="004B7812"/>
    <w:rsid w:val="00D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05A1"/>
  <w15:chartTrackingRefBased/>
  <w15:docId w15:val="{680051CF-3042-4172-8B18-F76816A3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2023-11-04T19:03:00Z</dcterms:created>
  <dcterms:modified xsi:type="dcterms:W3CDTF">2023-11-04T19:04:00Z</dcterms:modified>
</cp:coreProperties>
</file>